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62926" w14:textId="16F463DA" w:rsidR="00B5147C" w:rsidRPr="00796B37" w:rsidRDefault="00E96762" w:rsidP="009D2311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96B37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513E92" wp14:editId="31B17305">
                <wp:simplePos x="0" y="0"/>
                <wp:positionH relativeFrom="margin">
                  <wp:posOffset>2465705</wp:posOffset>
                </wp:positionH>
                <wp:positionV relativeFrom="paragraph">
                  <wp:posOffset>0</wp:posOffset>
                </wp:positionV>
                <wp:extent cx="3148965" cy="2162175"/>
                <wp:effectExtent l="0" t="0" r="0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B8BDF" w14:textId="5807441A" w:rsidR="0016476C" w:rsidRDefault="0016476C" w:rsidP="0016476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647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Recurso de Revisión de Procedimiento Especial Sancionador. </w:t>
                            </w:r>
                          </w:p>
                          <w:p w14:paraId="71DEFDC5" w14:textId="21D6F137" w:rsidR="00796B37" w:rsidRPr="0016476C" w:rsidRDefault="0016476C" w:rsidP="0016476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647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Expediente: </w:t>
                            </w:r>
                            <w:r w:rsidRPr="001647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TEEA-REP-00</w:t>
                            </w:r>
                            <w:r w:rsidR="000E56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Pr="001647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/202</w:t>
                            </w:r>
                            <w:r w:rsidR="00A569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851A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2BA6A47" w14:textId="61CA6EC3" w:rsidR="00796B37" w:rsidRPr="005C5936" w:rsidRDefault="00796B37" w:rsidP="00796B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="001647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47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50F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Partido Acción Nacional</w:t>
                            </w:r>
                          </w:p>
                          <w:p w14:paraId="148BD513" w14:textId="6E8A63C1" w:rsidR="00796B37" w:rsidRPr="005C5936" w:rsidRDefault="00796B37" w:rsidP="00796B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7D2B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69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Secretaría Ejecutiva del Instituto Estatal Electoral</w:t>
                            </w:r>
                            <w:r w:rsidR="006F1E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Aguascalientes</w:t>
                            </w:r>
                            <w:r w:rsidR="00A569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73972B4" w14:textId="2F50E397" w:rsidR="003F7D71" w:rsidRPr="009D2311" w:rsidRDefault="003F7D71" w:rsidP="009D2311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13E9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94.15pt;margin-top:0;width:247.95pt;height:17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" stroked="f">
                <v:textbox>
                  <w:txbxContent>
                    <w:p w14:paraId="717B8BDF" w14:textId="5807441A" w:rsidR="0016476C" w:rsidRDefault="0016476C" w:rsidP="0016476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647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Recurso de Revisión de Procedimiento Especial Sancionador. </w:t>
                      </w:r>
                    </w:p>
                    <w:p w14:paraId="71DEFDC5" w14:textId="21D6F137" w:rsidR="00796B37" w:rsidRPr="0016476C" w:rsidRDefault="0016476C" w:rsidP="0016476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647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Expediente: </w:t>
                      </w:r>
                      <w:r w:rsidRPr="001647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TEEA-REP-00</w:t>
                      </w:r>
                      <w:r w:rsidR="000E56A8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 w:rsidRPr="0016476C">
                        <w:rPr>
                          <w:rFonts w:ascii="Arial" w:hAnsi="Arial" w:cs="Arial"/>
                          <w:sz w:val="24"/>
                          <w:szCs w:val="24"/>
                        </w:rPr>
                        <w:t>/202</w:t>
                      </w:r>
                      <w:r w:rsidR="00A569F2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851A19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12BA6A47" w14:textId="61CA6EC3" w:rsidR="00796B37" w:rsidRPr="005C5936" w:rsidRDefault="00796B37" w:rsidP="00796B37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="0016476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6476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50FA4">
                        <w:rPr>
                          <w:rFonts w:ascii="Arial" w:hAnsi="Arial" w:cs="Arial"/>
                          <w:sz w:val="24"/>
                          <w:szCs w:val="24"/>
                        </w:rPr>
                        <w:t>Partido Acción Nacional</w:t>
                      </w:r>
                    </w:p>
                    <w:p w14:paraId="148BD513" w14:textId="6E8A63C1" w:rsidR="00796B37" w:rsidRPr="005C5936" w:rsidRDefault="00796B37" w:rsidP="00796B37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7D2B4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569F2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Secretaría Ejecutiva del Instituto Estatal Electoral</w:t>
                      </w:r>
                      <w:r w:rsidR="006F1EB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Aguascalientes</w:t>
                      </w:r>
                      <w:r w:rsidR="00A569F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73972B4" w14:textId="2F50E397" w:rsidR="003F7D71" w:rsidRPr="009D2311" w:rsidRDefault="003F7D71" w:rsidP="009D2311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459EA7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7AE42C47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1E83A82A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3BD71D36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4688852C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7E69B9AE" w14:textId="77777777" w:rsidR="00B5147C" w:rsidRPr="00796B37" w:rsidRDefault="00B5147C" w:rsidP="009D2311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39053A1A" w14:textId="77777777" w:rsidR="00B5147C" w:rsidRPr="00796B37" w:rsidRDefault="00B5147C" w:rsidP="009D2311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52CE6A54" w14:textId="77777777" w:rsidR="00A569F2" w:rsidRDefault="00A569F2" w:rsidP="00A569F2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6551E6F1" w14:textId="2391023B" w:rsidR="00B67003" w:rsidRDefault="009A1EF4" w:rsidP="00B67003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</w:t>
      </w:r>
      <w:proofErr w:type="gramStart"/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Secretario G</w:t>
      </w:r>
      <w:r w:rsidR="00F658EA">
        <w:rPr>
          <w:rFonts w:ascii="Arial" w:eastAsia="Times New Roman" w:hAnsi="Arial" w:cs="Arial"/>
          <w:bCs/>
          <w:sz w:val="24"/>
          <w:szCs w:val="24"/>
          <w:lang w:eastAsia="es-MX"/>
        </w:rPr>
        <w:t>eneral</w:t>
      </w:r>
      <w:proofErr w:type="gramEnd"/>
      <w:r w:rsidR="00F658E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2F67C9">
        <w:rPr>
          <w:rFonts w:ascii="Arial" w:eastAsia="Times New Roman" w:hAnsi="Arial" w:cs="Arial"/>
          <w:bCs/>
          <w:sz w:val="24"/>
          <w:szCs w:val="24"/>
          <w:lang w:eastAsia="es-MX"/>
        </w:rPr>
        <w:t>de Acuerdos</w:t>
      </w:r>
      <w:r w:rsidR="009E0AE0">
        <w:rPr>
          <w:rFonts w:ascii="Arial" w:eastAsia="Times New Roman" w:hAnsi="Arial" w:cs="Arial"/>
          <w:bCs/>
          <w:sz w:val="24"/>
          <w:szCs w:val="24"/>
          <w:lang w:eastAsia="es-MX"/>
        </w:rPr>
        <w:t>, da cuenta a la Magistrada Presidenta, Claudia Eloisa Díaz de León González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547DD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con el oficio con número </w:t>
      </w:r>
      <w:r w:rsidR="00547DDF" w:rsidRPr="009774CB">
        <w:rPr>
          <w:rFonts w:ascii="Arial" w:eastAsia="Times New Roman" w:hAnsi="Arial" w:cs="Arial"/>
          <w:bCs/>
          <w:sz w:val="24"/>
          <w:szCs w:val="24"/>
          <w:lang w:eastAsia="es-MX"/>
        </w:rPr>
        <w:t>TEEA-OP-</w:t>
      </w:r>
      <w:r w:rsidR="006F1EB6">
        <w:rPr>
          <w:rFonts w:ascii="Arial" w:eastAsia="Times New Roman" w:hAnsi="Arial" w:cs="Arial"/>
          <w:bCs/>
          <w:sz w:val="24"/>
          <w:szCs w:val="24"/>
          <w:lang w:eastAsia="es-MX"/>
        </w:rPr>
        <w:t>2</w:t>
      </w:r>
      <w:r w:rsidR="004A51A4">
        <w:rPr>
          <w:rFonts w:ascii="Arial" w:eastAsia="Times New Roman" w:hAnsi="Arial" w:cs="Arial"/>
          <w:bCs/>
          <w:sz w:val="24"/>
          <w:szCs w:val="24"/>
          <w:lang w:eastAsia="es-MX"/>
        </w:rPr>
        <w:t>8</w:t>
      </w:r>
      <w:r w:rsidR="000E56A8">
        <w:rPr>
          <w:rFonts w:ascii="Arial" w:eastAsia="Times New Roman" w:hAnsi="Arial" w:cs="Arial"/>
          <w:bCs/>
          <w:sz w:val="24"/>
          <w:szCs w:val="24"/>
          <w:lang w:eastAsia="es-MX"/>
        </w:rPr>
        <w:t>6</w:t>
      </w:r>
      <w:r w:rsidR="00547DDF" w:rsidRPr="00D063B8">
        <w:rPr>
          <w:rFonts w:ascii="Arial" w:eastAsia="Times New Roman" w:hAnsi="Arial" w:cs="Arial"/>
          <w:bCs/>
          <w:sz w:val="24"/>
          <w:szCs w:val="24"/>
          <w:lang w:eastAsia="es-MX"/>
        </w:rPr>
        <w:t>/</w:t>
      </w:r>
      <w:r w:rsidR="00547DDF" w:rsidRPr="009774CB">
        <w:rPr>
          <w:rFonts w:ascii="Arial" w:eastAsia="Times New Roman" w:hAnsi="Arial" w:cs="Arial"/>
          <w:bCs/>
          <w:sz w:val="24"/>
          <w:szCs w:val="24"/>
          <w:lang w:eastAsia="es-MX"/>
        </w:rPr>
        <w:t>202</w:t>
      </w:r>
      <w:r w:rsidR="00A569F2">
        <w:rPr>
          <w:rFonts w:ascii="Arial" w:eastAsia="Times New Roman" w:hAnsi="Arial" w:cs="Arial"/>
          <w:bCs/>
          <w:sz w:val="24"/>
          <w:szCs w:val="24"/>
          <w:lang w:eastAsia="es-MX"/>
        </w:rPr>
        <w:t>2</w:t>
      </w:r>
      <w:r w:rsidR="00547DD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 fecha </w:t>
      </w:r>
      <w:r w:rsidR="00A569F2">
        <w:rPr>
          <w:rFonts w:ascii="Arial" w:eastAsia="Times New Roman" w:hAnsi="Arial" w:cs="Arial"/>
          <w:bCs/>
          <w:sz w:val="24"/>
          <w:szCs w:val="24"/>
          <w:lang w:eastAsia="es-MX"/>
        </w:rPr>
        <w:t>veinti</w:t>
      </w:r>
      <w:r w:rsidR="004A51A4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="00950FA4">
        <w:rPr>
          <w:rFonts w:ascii="Arial" w:eastAsia="Times New Roman" w:hAnsi="Arial" w:cs="Arial"/>
          <w:bCs/>
          <w:sz w:val="24"/>
          <w:szCs w:val="24"/>
          <w:lang w:eastAsia="es-MX"/>
        </w:rPr>
        <w:t>iete</w:t>
      </w:r>
      <w:r w:rsidR="006F1EB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mayo </w:t>
      </w:r>
      <w:r w:rsidR="00547DDF">
        <w:rPr>
          <w:rFonts w:ascii="Arial" w:eastAsia="Times New Roman" w:hAnsi="Arial" w:cs="Arial"/>
          <w:bCs/>
          <w:sz w:val="24"/>
          <w:szCs w:val="24"/>
          <w:lang w:eastAsia="es-MX"/>
        </w:rPr>
        <w:t>de dos mil veint</w:t>
      </w:r>
      <w:r w:rsidR="00851A19">
        <w:rPr>
          <w:rFonts w:ascii="Arial" w:eastAsia="Times New Roman" w:hAnsi="Arial" w:cs="Arial"/>
          <w:bCs/>
          <w:sz w:val="24"/>
          <w:szCs w:val="24"/>
          <w:lang w:eastAsia="es-MX"/>
        </w:rPr>
        <w:t>i</w:t>
      </w:r>
      <w:r w:rsidR="00A569F2">
        <w:rPr>
          <w:rFonts w:ascii="Arial" w:eastAsia="Times New Roman" w:hAnsi="Arial" w:cs="Arial"/>
          <w:bCs/>
          <w:sz w:val="24"/>
          <w:szCs w:val="24"/>
          <w:lang w:eastAsia="es-MX"/>
        </w:rPr>
        <w:t>dós</w:t>
      </w:r>
      <w:r w:rsidR="00547DD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remitido por la Oficialía de Partes de este Tribunal Electoral, y con la documentación que en él se describe.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547DDF" w14:paraId="1CD8381F" w14:textId="77777777" w:rsidTr="004A51A4">
        <w:tc>
          <w:tcPr>
            <w:tcW w:w="4106" w:type="dxa"/>
          </w:tcPr>
          <w:p w14:paraId="351D66D4" w14:textId="711D2F01" w:rsidR="00547DDF" w:rsidRPr="00547DDF" w:rsidRDefault="00547DDF" w:rsidP="00547DD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Documentación recibida</w:t>
            </w:r>
          </w:p>
        </w:tc>
        <w:tc>
          <w:tcPr>
            <w:tcW w:w="4722" w:type="dxa"/>
          </w:tcPr>
          <w:p w14:paraId="43FEB0FA" w14:textId="0CDD9F00" w:rsidR="00547DDF" w:rsidRPr="00547DDF" w:rsidRDefault="00547DDF" w:rsidP="00547DD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547DDF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Acto impugnado</w:t>
            </w:r>
          </w:p>
        </w:tc>
      </w:tr>
      <w:tr w:rsidR="00547DDF" w14:paraId="2F8B887C" w14:textId="77777777" w:rsidTr="004A51A4">
        <w:tc>
          <w:tcPr>
            <w:tcW w:w="4106" w:type="dxa"/>
          </w:tcPr>
          <w:p w14:paraId="4448E5CB" w14:textId="20E42D03" w:rsidR="007133FC" w:rsidRPr="007133FC" w:rsidRDefault="00EF2AAC" w:rsidP="00A569F2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Oficio IEE/SE/1</w:t>
            </w:r>
            <w:r w:rsidR="004A51A4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7</w:t>
            </w:r>
            <w:r w:rsidR="00950FA4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3</w:t>
            </w:r>
            <w:r w:rsidR="000E56A8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/2022, por el que</w:t>
            </w:r>
            <w:r w:rsidR="006F1EB6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el </w:t>
            </w: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Secretario Ejecutivo</w:t>
            </w:r>
            <w:proofErr w:type="gram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del IEE remite el expediente IEE/RPES/00</w:t>
            </w:r>
            <w:r w:rsidR="00950FA4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8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/2022. </w:t>
            </w:r>
          </w:p>
        </w:tc>
        <w:tc>
          <w:tcPr>
            <w:tcW w:w="4722" w:type="dxa"/>
          </w:tcPr>
          <w:p w14:paraId="3BA4778F" w14:textId="5F88160A" w:rsidR="00547DDF" w:rsidRPr="00F92EEF" w:rsidRDefault="00A569F2" w:rsidP="0016476C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Acuerdo de </w:t>
            </w:r>
            <w:r w:rsidR="006F1EB6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no proponer las medidas cautelares dentro del PES IEE/PES/0</w:t>
            </w:r>
            <w:r w:rsidR="000E56A8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49</w:t>
            </w:r>
            <w:r w:rsidR="006F1EB6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/2022</w:t>
            </w:r>
            <w:r w:rsidR="00424DB9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, emitido por el SE del IEE</w:t>
            </w:r>
            <w:r w:rsidR="004A51A4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.</w:t>
            </w:r>
          </w:p>
        </w:tc>
      </w:tr>
    </w:tbl>
    <w:p w14:paraId="58D13D79" w14:textId="77777777" w:rsidR="00547DDF" w:rsidRPr="00796B37" w:rsidRDefault="00547DDF" w:rsidP="00B67003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4AC3DD18" w14:textId="1402C404" w:rsidR="00DB3CF1" w:rsidRPr="00796B37" w:rsidRDefault="002946B2" w:rsidP="00DB3CF1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Aguascalientes, Aguascalientes, a </w:t>
      </w:r>
      <w:r w:rsidR="00EF2AA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veinti</w:t>
      </w:r>
      <w:r w:rsidR="004A51A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</w:t>
      </w:r>
      <w:r w:rsidR="002D231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iete</w:t>
      </w:r>
      <w:r w:rsidR="00EF2AA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de </w:t>
      </w:r>
      <w:r w:rsidR="00424DB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mayo</w:t>
      </w:r>
      <w:r w:rsidR="00781D5D"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de dos mil veint</w:t>
      </w:r>
      <w:r w:rsidR="00CF10C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</w:t>
      </w:r>
      <w:r w:rsidR="00EF2AA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dós</w:t>
      </w: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</w:p>
    <w:p w14:paraId="5705CFCA" w14:textId="75E926E0" w:rsidR="00493231" w:rsidRPr="00796B37" w:rsidRDefault="00493231" w:rsidP="001F424B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796B37">
        <w:rPr>
          <w:rFonts w:ascii="Arial" w:hAnsi="Arial" w:cs="Arial"/>
          <w:sz w:val="24"/>
          <w:szCs w:val="24"/>
        </w:rPr>
        <w:t>Vist</w:t>
      </w:r>
      <w:r w:rsidR="00F92EEF">
        <w:rPr>
          <w:rFonts w:ascii="Arial" w:hAnsi="Arial" w:cs="Arial"/>
          <w:sz w:val="24"/>
          <w:szCs w:val="24"/>
        </w:rPr>
        <w:t>a</w:t>
      </w:r>
      <w:r w:rsidR="009A1EF4" w:rsidRPr="00796B37">
        <w:rPr>
          <w:rFonts w:ascii="Arial" w:hAnsi="Arial" w:cs="Arial"/>
          <w:sz w:val="24"/>
          <w:szCs w:val="24"/>
        </w:rPr>
        <w:t xml:space="preserve"> </w:t>
      </w:r>
      <w:r w:rsidR="00F92EEF">
        <w:rPr>
          <w:rFonts w:ascii="Arial" w:hAnsi="Arial" w:cs="Arial"/>
          <w:sz w:val="24"/>
          <w:szCs w:val="24"/>
        </w:rPr>
        <w:t>la cuenta,</w:t>
      </w:r>
      <w:r w:rsidR="009A1EF4" w:rsidRPr="00796B37">
        <w:rPr>
          <w:rFonts w:ascii="Arial" w:hAnsi="Arial" w:cs="Arial"/>
          <w:sz w:val="24"/>
          <w:szCs w:val="24"/>
        </w:rPr>
        <w:t xml:space="preserve"> con fundamento 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en los a</w:t>
      </w:r>
      <w:r w:rsidR="004C7B0A">
        <w:rPr>
          <w:rFonts w:ascii="Arial" w:eastAsia="Times New Roman" w:hAnsi="Arial" w:cs="Arial"/>
          <w:bCs/>
          <w:sz w:val="24"/>
          <w:szCs w:val="24"/>
          <w:lang w:eastAsia="es-MX"/>
        </w:rPr>
        <w:t>rtículos 298, 299, 300, 301, 353</w:t>
      </w:r>
      <w:r w:rsidR="00497D7B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</w:t>
      </w:r>
      <w:r w:rsidR="004C7B0A">
        <w:rPr>
          <w:rFonts w:ascii="Arial" w:eastAsia="Times New Roman" w:hAnsi="Arial" w:cs="Arial"/>
          <w:bCs/>
          <w:sz w:val="24"/>
          <w:szCs w:val="24"/>
          <w:lang w:eastAsia="es-MX"/>
        </w:rPr>
        <w:t>354</w:t>
      </w:r>
      <w:r w:rsidR="00497D7B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Código Electoral del Estado de Aguascalientes;</w:t>
      </w:r>
      <w:r w:rsidR="0060246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6165D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9, </w:t>
      </w:r>
      <w:r w:rsidR="00497D7B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8, fracción </w:t>
      </w:r>
      <w:r w:rsidR="00497D7B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X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III</w:t>
      </w:r>
      <w:r w:rsidR="00497D7B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XV</w:t>
      </w:r>
      <w:r w:rsidR="005E03E7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D13046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y</w:t>
      </w:r>
      <w:r w:rsidR="004C7B0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111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, del Reglamento Interior del Tribunal Electoral del Estado de Aguascalientes</w:t>
      </w:r>
      <w:r w:rsidR="0082784E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;</w:t>
      </w:r>
      <w:r w:rsidR="004C7B0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82784E" w:rsidRPr="00796B37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se</w:t>
      </w:r>
      <w:r w:rsidR="0082784E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acuerda</w:t>
      </w:r>
      <w:r w:rsidR="00497720"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:</w:t>
      </w:r>
    </w:p>
    <w:p w14:paraId="1CE2120D" w14:textId="76F873BA" w:rsidR="00784EE2" w:rsidRPr="002262AA" w:rsidRDefault="00DB032B" w:rsidP="009A1EF4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PRIMERO. </w:t>
      </w:r>
      <w:r w:rsidR="002262AA" w:rsidRPr="0021101E">
        <w:rPr>
          <w:rFonts w:ascii="Arial" w:eastAsia="Times New Roman" w:hAnsi="Arial" w:cs="Arial"/>
          <w:b/>
          <w:sz w:val="24"/>
          <w:szCs w:val="24"/>
          <w:lang w:eastAsia="es-MX"/>
        </w:rPr>
        <w:t>Integración de expediente.</w:t>
      </w:r>
      <w:r w:rsidR="002262AA" w:rsidRPr="002262A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="00A50016">
        <w:rPr>
          <w:rFonts w:ascii="Arial" w:eastAsia="Times New Roman" w:hAnsi="Arial" w:cs="Arial"/>
          <w:b/>
          <w:sz w:val="24"/>
          <w:szCs w:val="24"/>
          <w:lang w:eastAsia="es-MX"/>
        </w:rPr>
        <w:t>TEEA-REP-00</w:t>
      </w:r>
      <w:r w:rsidR="000E56A8">
        <w:rPr>
          <w:rFonts w:ascii="Arial" w:eastAsia="Times New Roman" w:hAnsi="Arial" w:cs="Arial"/>
          <w:b/>
          <w:sz w:val="24"/>
          <w:szCs w:val="24"/>
          <w:lang w:eastAsia="es-MX"/>
        </w:rPr>
        <w:t>8</w:t>
      </w:r>
      <w:r w:rsidR="002262AA" w:rsidRPr="0021101E">
        <w:rPr>
          <w:rFonts w:ascii="Arial" w:eastAsia="Times New Roman" w:hAnsi="Arial" w:cs="Arial"/>
          <w:b/>
          <w:sz w:val="24"/>
          <w:szCs w:val="24"/>
          <w:lang w:eastAsia="es-MX"/>
        </w:rPr>
        <w:t>/202</w:t>
      </w:r>
      <w:r w:rsidR="00EF2AAC">
        <w:rPr>
          <w:rFonts w:ascii="Arial" w:eastAsia="Times New Roman" w:hAnsi="Arial" w:cs="Arial"/>
          <w:b/>
          <w:sz w:val="24"/>
          <w:szCs w:val="24"/>
          <w:lang w:eastAsia="es-MX"/>
        </w:rPr>
        <w:t>2</w:t>
      </w:r>
      <w:r w:rsidR="002262AA" w:rsidRPr="0021101E">
        <w:rPr>
          <w:rFonts w:ascii="Arial" w:eastAsia="Times New Roman" w:hAnsi="Arial" w:cs="Arial"/>
          <w:b/>
          <w:sz w:val="24"/>
          <w:szCs w:val="24"/>
          <w:lang w:eastAsia="es-MX"/>
        </w:rPr>
        <w:t>.</w:t>
      </w:r>
      <w:r w:rsidR="002262A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</w:p>
    <w:p w14:paraId="6DC211A1" w14:textId="36E3DB69" w:rsidR="0003592A" w:rsidRPr="00B67003" w:rsidRDefault="002262AA" w:rsidP="009A1EF4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SEGUNDO</w:t>
      </w:r>
      <w:r w:rsidR="0082784E"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  <w:r w:rsidR="009A1EF4" w:rsidRPr="0021101E">
        <w:rPr>
          <w:rFonts w:ascii="Arial" w:eastAsia="Times New Roman" w:hAnsi="Arial" w:cs="Arial"/>
          <w:b/>
          <w:sz w:val="24"/>
          <w:szCs w:val="24"/>
          <w:lang w:eastAsia="es-MX"/>
        </w:rPr>
        <w:t>Turno</w:t>
      </w:r>
      <w:r w:rsidR="0082784E" w:rsidRPr="0021101E">
        <w:rPr>
          <w:rFonts w:ascii="Arial" w:eastAsia="Times New Roman" w:hAnsi="Arial" w:cs="Arial"/>
          <w:b/>
          <w:sz w:val="24"/>
          <w:szCs w:val="24"/>
          <w:lang w:eastAsia="es-MX"/>
        </w:rPr>
        <w:t>.</w:t>
      </w:r>
      <w:r w:rsidR="0082784E"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DB032B" w:rsidRPr="00796B37">
        <w:rPr>
          <w:rFonts w:ascii="Arial" w:eastAsia="Times New Roman" w:hAnsi="Arial" w:cs="Arial"/>
          <w:sz w:val="24"/>
          <w:szCs w:val="24"/>
          <w:lang w:eastAsia="es-MX"/>
        </w:rPr>
        <w:t>En virtud de lo anterior</w:t>
      </w:r>
      <w:r w:rsidR="00DB032B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p</w:t>
      </w:r>
      <w:r w:rsidR="003649C0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ara los efectos previstos en los artículos 357, fracción VIII, inciso e), del Código Electoral y 102 del Reglamento Interior del Tribunal Electoral del Estado de Aguascalientes, túrnense los autos a la Ponencia</w:t>
      </w:r>
      <w:r w:rsidR="003649C0" w:rsidRPr="00796B37">
        <w:rPr>
          <w:rFonts w:ascii="Arial" w:eastAsia="Times New Roman" w:hAnsi="Arial" w:cs="Arial"/>
          <w:sz w:val="24"/>
          <w:szCs w:val="24"/>
          <w:lang w:eastAsia="es-MX"/>
        </w:rPr>
        <w:t xml:space="preserve"> de</w:t>
      </w:r>
      <w:r w:rsidR="000E56A8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7E7EC8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F2AAC" w:rsidRPr="00B6700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Magistrad</w:t>
      </w:r>
      <w:r w:rsidR="000E56A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</w:t>
      </w:r>
      <w:r w:rsidR="00EF2AAC" w:rsidRPr="00B6700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0E56A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Héctor Salvador </w:t>
      </w:r>
      <w:r w:rsidR="00950FA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Hernández</w:t>
      </w:r>
      <w:r w:rsidR="000E56A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Gallegos.</w:t>
      </w:r>
    </w:p>
    <w:p w14:paraId="492B3424" w14:textId="77777777" w:rsidR="001F424B" w:rsidRPr="00796B37" w:rsidRDefault="00DB3CF1" w:rsidP="001F424B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>Hágase la publicación del presente acuerdo en los estrados físicos y electrónicos de este Tribunal.</w:t>
      </w:r>
    </w:p>
    <w:p w14:paraId="197C1D3A" w14:textId="77777777" w:rsidR="001F424B" w:rsidRPr="00796B37" w:rsidRDefault="008C7554" w:rsidP="009D2311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NOTIFÍQUESE. </w:t>
      </w:r>
    </w:p>
    <w:p w14:paraId="4979ECDF" w14:textId="4155305D" w:rsidR="00DB3CF1" w:rsidRPr="00796B37" w:rsidRDefault="007D2B46" w:rsidP="009D2311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la</w:t>
      </w:r>
      <w:r w:rsidR="00DB3CF1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Magistrada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es-MX"/>
        </w:rPr>
        <w:t>Presidenta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Tribunal Electoral,</w:t>
      </w:r>
      <w:r w:rsidRPr="007D2B46">
        <w:t xml:space="preserve"> </w:t>
      </w:r>
      <w:r w:rsidRPr="007D2B46">
        <w:rPr>
          <w:rFonts w:ascii="Arial" w:eastAsia="Times New Roman" w:hAnsi="Arial" w:cs="Arial"/>
          <w:bCs/>
          <w:sz w:val="24"/>
          <w:szCs w:val="24"/>
          <w:lang w:eastAsia="es-MX"/>
        </w:rPr>
        <w:t>Claudia Eloisa Díaz de León González</w:t>
      </w:r>
      <w:r w:rsidR="00DB3CF1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, ante e</w:t>
      </w:r>
      <w:r w:rsidR="00D11A84">
        <w:rPr>
          <w:rFonts w:ascii="Arial" w:eastAsia="Times New Roman" w:hAnsi="Arial" w:cs="Arial"/>
          <w:bCs/>
          <w:sz w:val="24"/>
          <w:szCs w:val="24"/>
          <w:lang w:eastAsia="es-MX"/>
        </w:rPr>
        <w:t>l Secretario General</w:t>
      </w:r>
      <w:r w:rsidR="00B667C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Acuerdos</w:t>
      </w:r>
      <w:r w:rsidR="00DB3CF1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D11A8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B667C1">
        <w:rPr>
          <w:rFonts w:ascii="Arial" w:eastAsia="Times New Roman" w:hAnsi="Arial" w:cs="Arial"/>
          <w:bCs/>
          <w:sz w:val="24"/>
          <w:szCs w:val="24"/>
          <w:lang w:eastAsia="es-MX"/>
        </w:rPr>
        <w:t>Jesús Ociel Baena Saucedo,</w:t>
      </w:r>
      <w:r w:rsidR="00DB3CF1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que autoriza y da fe.</w:t>
      </w:r>
    </w:p>
    <w:p w14:paraId="21EAB2C8" w14:textId="77777777" w:rsidR="00DB3CF1" w:rsidRDefault="00DB3CF1" w:rsidP="00DB3CF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6F765DAB" w14:textId="77777777" w:rsidR="00F658EA" w:rsidRDefault="00F658EA" w:rsidP="00DB3CF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2AF4491B" w14:textId="77777777" w:rsidR="00F658EA" w:rsidRDefault="00F658EA" w:rsidP="00DB3CF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78A55E82" w14:textId="77777777" w:rsidR="00F658EA" w:rsidRPr="00796B37" w:rsidRDefault="00F658EA" w:rsidP="00DB3CF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43D96D82" w14:textId="5D9BDC4D" w:rsidR="00DB3CF1" w:rsidRPr="00796B37" w:rsidRDefault="007D2B46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Magistrada </w:t>
      </w:r>
      <w:proofErr w:type="gramStart"/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Presidenta</w:t>
      </w:r>
      <w:proofErr w:type="gramEnd"/>
    </w:p>
    <w:p w14:paraId="074AFFAD" w14:textId="77777777" w:rsidR="00DB3CF1" w:rsidRPr="00796B37" w:rsidRDefault="00DB3CF1" w:rsidP="00DB3CF1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633F5574" w14:textId="11875641" w:rsidR="00DB3CF1" w:rsidRPr="00796B37" w:rsidRDefault="007D2B46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7D2B4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Claudia Eloisa Díaz de León González</w:t>
      </w:r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.</w:t>
      </w:r>
      <w:r w:rsidR="00DB3CF1" w:rsidRPr="00796B3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 </w:t>
      </w:r>
    </w:p>
    <w:p w14:paraId="0FBE3988" w14:textId="77777777" w:rsidR="00DB3CF1" w:rsidRPr="00796B37" w:rsidRDefault="00DB3CF1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0FB1C996" w14:textId="77777777" w:rsidR="00DB3CF1" w:rsidRPr="00796B37" w:rsidRDefault="00DB3CF1" w:rsidP="007D2B46">
      <w:pPr>
        <w:spacing w:after="0" w:line="360" w:lineRule="auto"/>
        <w:ind w:left="284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328F354B" w14:textId="77777777" w:rsidR="00DB3CF1" w:rsidRDefault="00DB3CF1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1196EA76" w14:textId="77777777" w:rsidR="007D2B46" w:rsidRPr="00796B37" w:rsidRDefault="007D2B46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3AFC41C2" w14:textId="0C996330" w:rsidR="00DB3CF1" w:rsidRPr="00796B37" w:rsidRDefault="00F658EA" w:rsidP="007D2B4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Secretari</w:t>
      </w:r>
      <w:r w:rsidR="002F67C9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e</w:t>
      </w:r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 General </w:t>
      </w:r>
      <w:r w:rsidR="002F67C9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de Acuerdos</w:t>
      </w:r>
    </w:p>
    <w:p w14:paraId="7A737C33" w14:textId="4A867218" w:rsidR="009D2311" w:rsidRPr="00796B37" w:rsidRDefault="009D2311" w:rsidP="007D2B46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3B70B0BB" w14:textId="1A748099" w:rsidR="00DB3CF1" w:rsidRPr="00796B37" w:rsidRDefault="0021101E" w:rsidP="007D2B46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      </w:t>
      </w:r>
      <w:r w:rsidR="002F67C9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p w14:paraId="6D38C7AE" w14:textId="77777777" w:rsidR="00676D1A" w:rsidRPr="00796B37" w:rsidRDefault="00676D1A" w:rsidP="00DB3CF1">
      <w:pPr>
        <w:ind w:firstLine="284"/>
        <w:jc w:val="both"/>
        <w:rPr>
          <w:sz w:val="24"/>
          <w:szCs w:val="24"/>
        </w:rPr>
      </w:pPr>
    </w:p>
    <w:sectPr w:rsidR="00676D1A" w:rsidRPr="00796B37" w:rsidSect="00C252C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5D29E" w14:textId="77777777" w:rsidR="00CF6F81" w:rsidRDefault="00CF6F81">
      <w:pPr>
        <w:spacing w:after="0" w:line="240" w:lineRule="auto"/>
      </w:pPr>
      <w:r>
        <w:separator/>
      </w:r>
    </w:p>
  </w:endnote>
  <w:endnote w:type="continuationSeparator" w:id="0">
    <w:p w14:paraId="20FEABEA" w14:textId="77777777" w:rsidR="00CF6F81" w:rsidRDefault="00CF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3E7B" w14:textId="77777777" w:rsidR="00F71849" w:rsidRDefault="000E56A8">
    <w:pPr>
      <w:pStyle w:val="Piedepgina"/>
      <w:jc w:val="right"/>
    </w:pPr>
  </w:p>
  <w:p w14:paraId="1496D0B3" w14:textId="77777777" w:rsidR="00F71849" w:rsidRDefault="000E56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C1F4C" w14:textId="77777777" w:rsidR="00CF6F81" w:rsidRDefault="00CF6F81">
      <w:pPr>
        <w:spacing w:after="0" w:line="240" w:lineRule="auto"/>
      </w:pPr>
      <w:r>
        <w:separator/>
      </w:r>
    </w:p>
  </w:footnote>
  <w:footnote w:type="continuationSeparator" w:id="0">
    <w:p w14:paraId="6E5658C2" w14:textId="77777777" w:rsidR="00CF6F81" w:rsidRDefault="00CF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17AD" w14:textId="77777777"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E8F0A3F" wp14:editId="0088F98B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1D9F748" wp14:editId="41F037F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3F003B4" w14:textId="77777777"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C44CE3" w:rsidRPr="00C44CE3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D9F748"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13F003B4" w14:textId="77777777"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C44CE3" w:rsidRPr="00C44CE3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0AF33FA9" w14:textId="77777777"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30DDFAE1" w14:textId="77777777"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4EEE6453" w14:textId="77777777"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2A8BB525" w14:textId="77777777"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4CB122FC" w14:textId="0B869363"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3F1CDD">
      <w:rPr>
        <w:rFonts w:ascii="Century Gothic" w:hAnsi="Century Gothic"/>
        <w:b/>
      </w:rPr>
      <w:t>turno</w:t>
    </w:r>
    <w:r w:rsidR="00CF10C5">
      <w:rPr>
        <w:rFonts w:ascii="Century Gothic" w:hAnsi="Century Gothic"/>
        <w:b/>
      </w:rPr>
      <w:t xml:space="preserve"> </w:t>
    </w:r>
    <w:r w:rsidR="00A569F2">
      <w:rPr>
        <w:rFonts w:ascii="Century Gothic" w:hAnsi="Century Gothic"/>
        <w:b/>
      </w:rPr>
      <w:t>de Presidencia</w:t>
    </w:r>
  </w:p>
  <w:p w14:paraId="4297EF85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59CC9037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17C57216" w14:textId="2B8A245E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6D5459D5" w14:textId="77777777" w:rsidR="00D063B8" w:rsidRDefault="00D063B8" w:rsidP="00A569F2">
    <w:pPr>
      <w:pStyle w:val="Encabezado"/>
      <w:rPr>
        <w:rFonts w:ascii="Century Gothic" w:hAnsi="Century Gothic"/>
      </w:rPr>
    </w:pPr>
  </w:p>
  <w:p w14:paraId="0CB6833F" w14:textId="77777777"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F6498"/>
    <w:multiLevelType w:val="hybridMultilevel"/>
    <w:tmpl w:val="E918CB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4316B"/>
    <w:multiLevelType w:val="hybridMultilevel"/>
    <w:tmpl w:val="E9F26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98940463">
    <w:abstractNumId w:val="4"/>
  </w:num>
  <w:num w:numId="2" w16cid:durableId="1299872808">
    <w:abstractNumId w:val="3"/>
  </w:num>
  <w:num w:numId="3" w16cid:durableId="499659993">
    <w:abstractNumId w:val="5"/>
  </w:num>
  <w:num w:numId="4" w16cid:durableId="1107698140">
    <w:abstractNumId w:val="7"/>
  </w:num>
  <w:num w:numId="5" w16cid:durableId="1903786040">
    <w:abstractNumId w:val="2"/>
  </w:num>
  <w:num w:numId="6" w16cid:durableId="1949778108">
    <w:abstractNumId w:val="0"/>
  </w:num>
  <w:num w:numId="7" w16cid:durableId="1476723032">
    <w:abstractNumId w:val="1"/>
  </w:num>
  <w:num w:numId="8" w16cid:durableId="14970683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10219"/>
    <w:rsid w:val="0003592A"/>
    <w:rsid w:val="00050489"/>
    <w:rsid w:val="00065810"/>
    <w:rsid w:val="00070DC9"/>
    <w:rsid w:val="000817D9"/>
    <w:rsid w:val="00083145"/>
    <w:rsid w:val="00090F2E"/>
    <w:rsid w:val="00091705"/>
    <w:rsid w:val="000A64C2"/>
    <w:rsid w:val="000E2D19"/>
    <w:rsid w:val="000E56A8"/>
    <w:rsid w:val="00146964"/>
    <w:rsid w:val="00155C10"/>
    <w:rsid w:val="001632AF"/>
    <w:rsid w:val="0016476C"/>
    <w:rsid w:val="001F424B"/>
    <w:rsid w:val="0021101E"/>
    <w:rsid w:val="002262AA"/>
    <w:rsid w:val="00231871"/>
    <w:rsid w:val="0028679B"/>
    <w:rsid w:val="00287805"/>
    <w:rsid w:val="0028791F"/>
    <w:rsid w:val="002946B2"/>
    <w:rsid w:val="002C1E08"/>
    <w:rsid w:val="002D231F"/>
    <w:rsid w:val="002D7870"/>
    <w:rsid w:val="002F2C19"/>
    <w:rsid w:val="002F340F"/>
    <w:rsid w:val="002F5044"/>
    <w:rsid w:val="002F67C9"/>
    <w:rsid w:val="00301C90"/>
    <w:rsid w:val="00325C6E"/>
    <w:rsid w:val="003649C0"/>
    <w:rsid w:val="0037153B"/>
    <w:rsid w:val="0037568D"/>
    <w:rsid w:val="0038520B"/>
    <w:rsid w:val="00397ED5"/>
    <w:rsid w:val="003B0497"/>
    <w:rsid w:val="003F1CDD"/>
    <w:rsid w:val="003F7D71"/>
    <w:rsid w:val="0042213B"/>
    <w:rsid w:val="00424DB9"/>
    <w:rsid w:val="00426C3E"/>
    <w:rsid w:val="00432BAF"/>
    <w:rsid w:val="00466D6A"/>
    <w:rsid w:val="00493171"/>
    <w:rsid w:val="00493231"/>
    <w:rsid w:val="00497720"/>
    <w:rsid w:val="00497D7B"/>
    <w:rsid w:val="004A291B"/>
    <w:rsid w:val="004A51A4"/>
    <w:rsid w:val="004A70E3"/>
    <w:rsid w:val="004B472D"/>
    <w:rsid w:val="004C7B0A"/>
    <w:rsid w:val="004D1BF0"/>
    <w:rsid w:val="004D2709"/>
    <w:rsid w:val="0054481A"/>
    <w:rsid w:val="00547DDF"/>
    <w:rsid w:val="005749E4"/>
    <w:rsid w:val="005756D0"/>
    <w:rsid w:val="005775A6"/>
    <w:rsid w:val="005804B4"/>
    <w:rsid w:val="0058764C"/>
    <w:rsid w:val="005901EF"/>
    <w:rsid w:val="00594AC9"/>
    <w:rsid w:val="005C5DC5"/>
    <w:rsid w:val="005E03E7"/>
    <w:rsid w:val="005F0007"/>
    <w:rsid w:val="00602461"/>
    <w:rsid w:val="00602AE3"/>
    <w:rsid w:val="00603086"/>
    <w:rsid w:val="006156E0"/>
    <w:rsid w:val="006165DF"/>
    <w:rsid w:val="0063770E"/>
    <w:rsid w:val="006522E0"/>
    <w:rsid w:val="00652670"/>
    <w:rsid w:val="006622AC"/>
    <w:rsid w:val="00676D1A"/>
    <w:rsid w:val="006C6472"/>
    <w:rsid w:val="006C7181"/>
    <w:rsid w:val="006D5128"/>
    <w:rsid w:val="006F1040"/>
    <w:rsid w:val="006F1EB6"/>
    <w:rsid w:val="006F245E"/>
    <w:rsid w:val="0070212E"/>
    <w:rsid w:val="00702F75"/>
    <w:rsid w:val="007122B7"/>
    <w:rsid w:val="007133FC"/>
    <w:rsid w:val="00716C01"/>
    <w:rsid w:val="00722519"/>
    <w:rsid w:val="007367AC"/>
    <w:rsid w:val="007729BD"/>
    <w:rsid w:val="00781D5D"/>
    <w:rsid w:val="00782B8F"/>
    <w:rsid w:val="00784EE2"/>
    <w:rsid w:val="007969B5"/>
    <w:rsid w:val="00796B37"/>
    <w:rsid w:val="007D2B46"/>
    <w:rsid w:val="007D695A"/>
    <w:rsid w:val="007E71DD"/>
    <w:rsid w:val="007E7EC8"/>
    <w:rsid w:val="007F575B"/>
    <w:rsid w:val="007F5F5E"/>
    <w:rsid w:val="0081616B"/>
    <w:rsid w:val="00821E86"/>
    <w:rsid w:val="0082784E"/>
    <w:rsid w:val="00840142"/>
    <w:rsid w:val="00845E4F"/>
    <w:rsid w:val="00851A19"/>
    <w:rsid w:val="00854D24"/>
    <w:rsid w:val="008B0161"/>
    <w:rsid w:val="008C093A"/>
    <w:rsid w:val="008C4385"/>
    <w:rsid w:val="008C7554"/>
    <w:rsid w:val="008D27A2"/>
    <w:rsid w:val="008E2598"/>
    <w:rsid w:val="008F38E6"/>
    <w:rsid w:val="00911B33"/>
    <w:rsid w:val="00950FA4"/>
    <w:rsid w:val="0097354E"/>
    <w:rsid w:val="00974172"/>
    <w:rsid w:val="00975D15"/>
    <w:rsid w:val="009774CB"/>
    <w:rsid w:val="00981632"/>
    <w:rsid w:val="00983A5F"/>
    <w:rsid w:val="00983C2C"/>
    <w:rsid w:val="009A16B2"/>
    <w:rsid w:val="009A1C81"/>
    <w:rsid w:val="009A1EF4"/>
    <w:rsid w:val="009A3A62"/>
    <w:rsid w:val="009D2311"/>
    <w:rsid w:val="009D2E1D"/>
    <w:rsid w:val="009D2FD2"/>
    <w:rsid w:val="009E0AE0"/>
    <w:rsid w:val="009F6F17"/>
    <w:rsid w:val="00A148A3"/>
    <w:rsid w:val="00A50016"/>
    <w:rsid w:val="00A569F2"/>
    <w:rsid w:val="00A778A7"/>
    <w:rsid w:val="00A90401"/>
    <w:rsid w:val="00A94AA8"/>
    <w:rsid w:val="00A97A65"/>
    <w:rsid w:val="00AA7971"/>
    <w:rsid w:val="00AD6106"/>
    <w:rsid w:val="00AE6367"/>
    <w:rsid w:val="00AF39EA"/>
    <w:rsid w:val="00AF73B8"/>
    <w:rsid w:val="00B20BC8"/>
    <w:rsid w:val="00B23C9A"/>
    <w:rsid w:val="00B3086A"/>
    <w:rsid w:val="00B36853"/>
    <w:rsid w:val="00B5147C"/>
    <w:rsid w:val="00B667C1"/>
    <w:rsid w:val="00B67003"/>
    <w:rsid w:val="00B82C4B"/>
    <w:rsid w:val="00BA4907"/>
    <w:rsid w:val="00BA791C"/>
    <w:rsid w:val="00BC2D7A"/>
    <w:rsid w:val="00BC678C"/>
    <w:rsid w:val="00BD4738"/>
    <w:rsid w:val="00BE65DA"/>
    <w:rsid w:val="00BF4063"/>
    <w:rsid w:val="00C44CE3"/>
    <w:rsid w:val="00C5594E"/>
    <w:rsid w:val="00C96129"/>
    <w:rsid w:val="00C97D07"/>
    <w:rsid w:val="00C97FCA"/>
    <w:rsid w:val="00CD3479"/>
    <w:rsid w:val="00CD4202"/>
    <w:rsid w:val="00CF10C5"/>
    <w:rsid w:val="00CF3066"/>
    <w:rsid w:val="00CF6F81"/>
    <w:rsid w:val="00D063B8"/>
    <w:rsid w:val="00D11A84"/>
    <w:rsid w:val="00D13046"/>
    <w:rsid w:val="00D25C5A"/>
    <w:rsid w:val="00D32AAC"/>
    <w:rsid w:val="00D44114"/>
    <w:rsid w:val="00D56EFB"/>
    <w:rsid w:val="00D72F30"/>
    <w:rsid w:val="00D80F82"/>
    <w:rsid w:val="00D840AB"/>
    <w:rsid w:val="00D916B7"/>
    <w:rsid w:val="00DA2980"/>
    <w:rsid w:val="00DB032B"/>
    <w:rsid w:val="00DB3CF1"/>
    <w:rsid w:val="00DD3990"/>
    <w:rsid w:val="00DF6B70"/>
    <w:rsid w:val="00E01424"/>
    <w:rsid w:val="00E44495"/>
    <w:rsid w:val="00E510E4"/>
    <w:rsid w:val="00E51AFC"/>
    <w:rsid w:val="00E82BB5"/>
    <w:rsid w:val="00E87C65"/>
    <w:rsid w:val="00E9474E"/>
    <w:rsid w:val="00E96762"/>
    <w:rsid w:val="00EA044B"/>
    <w:rsid w:val="00EB6FFF"/>
    <w:rsid w:val="00EC05E7"/>
    <w:rsid w:val="00EE05BB"/>
    <w:rsid w:val="00EF2AAC"/>
    <w:rsid w:val="00EF59E8"/>
    <w:rsid w:val="00F37E67"/>
    <w:rsid w:val="00F63C79"/>
    <w:rsid w:val="00F64C15"/>
    <w:rsid w:val="00F658EA"/>
    <w:rsid w:val="00F658EC"/>
    <w:rsid w:val="00F92EEF"/>
    <w:rsid w:val="00FA0149"/>
    <w:rsid w:val="00FA30F3"/>
    <w:rsid w:val="00FA5F85"/>
    <w:rsid w:val="00FC2B30"/>
    <w:rsid w:val="00FD061C"/>
    <w:rsid w:val="00FE739D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515CAB3"/>
  <w15:docId w15:val="{EE70FE6F-1111-4FDB-921D-15A89CAA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F7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BA481-1D08-43B5-A221-B5EAF39A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 Gral</dc:creator>
  <cp:lastModifiedBy>Secretario Gral</cp:lastModifiedBy>
  <cp:revision>5</cp:revision>
  <cp:lastPrinted>2022-05-27T21:15:00Z</cp:lastPrinted>
  <dcterms:created xsi:type="dcterms:W3CDTF">2022-05-27T14:05:00Z</dcterms:created>
  <dcterms:modified xsi:type="dcterms:W3CDTF">2022-05-27T21:16:00Z</dcterms:modified>
</cp:coreProperties>
</file>